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34C5" w:rsidRPr="009A49C0" w:rsidRDefault="009F34C5" w:rsidP="009A49C0">
      <w:pPr>
        <w:spacing w:after="0" w:line="240" w:lineRule="auto"/>
        <w:ind w:firstLine="709"/>
        <w:jc w:val="center"/>
        <w:rPr>
          <w:rFonts w:ascii="Times New Roman" w:eastAsia="Times New Roman" w:hAnsi="Times New Roman" w:cs="Times New Roman"/>
          <w:b/>
          <w:sz w:val="24"/>
          <w:szCs w:val="24"/>
          <w:lang w:eastAsia="ru-RU"/>
        </w:rPr>
      </w:pPr>
      <w:r w:rsidRPr="009A49C0">
        <w:rPr>
          <w:rFonts w:ascii="Times New Roman" w:eastAsia="Times New Roman" w:hAnsi="Times New Roman" w:cs="Times New Roman"/>
          <w:b/>
          <w:sz w:val="24"/>
          <w:szCs w:val="24"/>
          <w:lang w:val="kk-KZ" w:eastAsia="ru-RU"/>
        </w:rPr>
        <w:t>1.2 Электрондық коммерция категориялары</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Электрондық коммерцияны 4 категорияға бөлуге болады [2]:</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бизнес-бизнес;</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бизнес-тұтынушы;</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w:t>
      </w:r>
      <w:proofErr w:type="gramStart"/>
      <w:r w:rsidRPr="009B410A">
        <w:rPr>
          <w:rFonts w:ascii="Times New Roman" w:eastAsia="Times New Roman" w:hAnsi="Times New Roman" w:cs="Times New Roman"/>
          <w:sz w:val="24"/>
          <w:szCs w:val="24"/>
          <w:lang w:val="kk-KZ" w:eastAsia="ru-RU"/>
        </w:rPr>
        <w:t>с-</w:t>
      </w:r>
      <w:proofErr w:type="gramEnd"/>
      <w:r w:rsidRPr="009B410A">
        <w:rPr>
          <w:rFonts w:ascii="Times New Roman" w:eastAsia="Times New Roman" w:hAnsi="Times New Roman" w:cs="Times New Roman"/>
          <w:sz w:val="24"/>
          <w:szCs w:val="24"/>
          <w:lang w:val="kk-KZ" w:eastAsia="ru-RU"/>
        </w:rPr>
        <w:t>әкімшілік;</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тұтынуш</w:t>
      </w:r>
      <w:proofErr w:type="gramStart"/>
      <w:r w:rsidRPr="009B410A">
        <w:rPr>
          <w:rFonts w:ascii="Times New Roman" w:eastAsia="Times New Roman" w:hAnsi="Times New Roman" w:cs="Times New Roman"/>
          <w:sz w:val="24"/>
          <w:szCs w:val="24"/>
          <w:lang w:val="kk-KZ" w:eastAsia="ru-RU"/>
        </w:rPr>
        <w:t>ы-</w:t>
      </w:r>
      <w:proofErr w:type="gramEnd"/>
      <w:r w:rsidRPr="009B410A">
        <w:rPr>
          <w:rFonts w:ascii="Times New Roman" w:eastAsia="Times New Roman" w:hAnsi="Times New Roman" w:cs="Times New Roman"/>
          <w:sz w:val="24"/>
          <w:szCs w:val="24"/>
          <w:lang w:val="kk-KZ" w:eastAsia="ru-RU"/>
        </w:rPr>
        <w:t>әкімшілік (1.2-сурет).</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Бизнес-бизнес (business-to-business, B2B) категориясынан мысал ретінде, желіні жеткізушілерге тапсырыс беру, шоттар мен төлемдерді алу үшін қолданатын компаниялар қызмет етуі мүмкін. Электрондық коммерцияның бұл категориясы бірнеше жылдар бойы, EDI (Electronic Data Intershange) – деректерімен электрондық алмасу технологиясын, жеке меншік желілерде немесе VAN (Value Added) қосымша қызметтері бар желілерде бөліп пайдалануда табысты қалыптасып келді. Интернетте мұндай жүйелер сауда алаңдарымен, биржалармен, аукциондармен және порталдармен берілген. Барлық В2В Интернет-шешімдерінің негізгі мақсаты – серіктесті іздеуді барынша жеңілдету және мәмілеге келу мен орындауды қамтамасыз ету.</w:t>
      </w:r>
    </w:p>
    <w:p w:rsidR="009F34C5" w:rsidRPr="009B410A" w:rsidRDefault="009F34C5" w:rsidP="009F34C5">
      <w:pPr>
        <w:spacing w:after="0" w:line="240" w:lineRule="auto"/>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extent cx="5715000" cy="2352675"/>
            <wp:effectExtent l="19050" t="0" r="0" b="0"/>
            <wp:docPr id="2" name="Рисунок 2" descr="Описание: Описание: Описание: Описание: Описание: Описание: 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Описание: Описание: Описание: Описание: Описание: 2222222"/>
                    <pic:cNvPicPr>
                      <a:picLocks noChangeAspect="1" noChangeArrowheads="1"/>
                    </pic:cNvPicPr>
                  </pic:nvPicPr>
                  <pic:blipFill>
                    <a:blip r:embed="rId4" cstate="print"/>
                    <a:srcRect/>
                    <a:stretch>
                      <a:fillRect/>
                    </a:stretch>
                  </pic:blipFill>
                  <pic:spPr bwMode="auto">
                    <a:xfrm>
                      <a:off x="0" y="0"/>
                      <a:ext cx="5715000" cy="2352675"/>
                    </a:xfrm>
                    <a:prstGeom prst="rect">
                      <a:avLst/>
                    </a:prstGeom>
                    <a:noFill/>
                    <a:ln w="9525">
                      <a:noFill/>
                      <a:miter lim="800000"/>
                      <a:headEnd/>
                      <a:tailEnd/>
                    </a:ln>
                  </pic:spPr>
                </pic:pic>
              </a:graphicData>
            </a:graphic>
          </wp:inline>
        </w:drawing>
      </w:r>
    </w:p>
    <w:p w:rsidR="009F34C5" w:rsidRPr="009B410A" w:rsidRDefault="009F34C5" w:rsidP="009F34C5">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1.2-сурет – Электрондық коммерция категориясы</w:t>
      </w:r>
    </w:p>
    <w:p w:rsidR="009F34C5" w:rsidRPr="009B410A" w:rsidRDefault="009F34C5" w:rsidP="009F34C5">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Бизнес-тұтынушы категориясы (business-to-consumer, B2C) – бұл электрон-дық бөлшек сауда. Бұл категория WWW пайда болғалы өз шеңберін өте кеңейтті. Бүгінгі күні В2С жүйесіне мыналар жатады: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-web-витриналар - компанияның Желіде орналасқан өнімдер немесе тауарлар каталогтары, оларда тапсырысты рәсімдеудің аз қаражаты бар [1].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-интернет-дүкендер – витринадан басқа т.н. интернет-back-office арқылы  электрондық сауда процесін басқаруға арналған барлық қажетті бизнес-инфрақұрылымы бар [1].</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-сауда Интернет-жүйелері (СИЖ) – бұлар Интернет-дүкендер, back-office болып табылады, ол компанияның сауда бизнес-процестерімен толық шоғырланған [1].</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Бизнес-әкімшілік категориясына компаниялар мен үкіметтік ұйымдар арасында бекітілетін барлық мәмілелер енеді. Мысалы, АҚШ-та үкіметтің жоспардағы сатып алуы туралы ақпарат Internet-ке жарияланады да, компаниялар өз ұсыныстарын жіберулеріне болады. Үкімет электрондық коммерция рыногының осы секторын жандандыруда жетекші роль атқарады. Еуропада берілген сектордың жекелеген бағыттарында, көбінесе кеден, салық салу, статистика және қоғамдық сатып алуларды жинастыру аймағында, тікелей жеке меншік секторға бағытталған трансеуропалық желілер мен жүйелерді орнату мақсаты бола тұра, айтарлықтай өрлеуге жетті.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Тұтынушы-әкімшілік категориясы әлі болған жоқ. Алайда бизнес-тұтынушы және бизнес-әкімшілік категориялары өскен сайын, үкіметтер мынадай, мысалы, әлеуметтік төлем сияқты салаларда электрондық әрекеттесуді кеңейтуі мүмкін.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Келесі суретте бизнес өкілдеріне қаржы ұйымдары да: банктер, сақтан-дыру, зейнетақылар, инвестициялық қорлар және т.б. жататынын атап өткен жөн. Кейде олардың бизнестегі ерекше роліне қарай қаржы секторларының өкілдерін жеке топқа бөледі [4], электрондық коммерция субъектілерінің өзара әрекеті төменде келтірілген сұлба түрінде болады (1.3-сурет).</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Осындай сұлбаға сәйкес әдетте электрондық коммерция рыногының үш сегментін бөліп қарастырады: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lastRenderedPageBreak/>
        <w:t>-</w:t>
      </w:r>
      <w:r w:rsidRPr="009B410A">
        <w:rPr>
          <w:rFonts w:ascii="Times New Roman" w:eastAsia="Times New Roman" w:hAnsi="Times New Roman" w:cs="Times New Roman"/>
          <w:sz w:val="24"/>
          <w:szCs w:val="24"/>
          <w:lang w:val="kk-KZ" w:eastAsia="ru-RU"/>
        </w:rPr>
        <w:t xml:space="preserve">қаржы нарығы;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eastAsia="ru-RU"/>
        </w:rPr>
      </w:pPr>
      <w:r w:rsidRPr="00B035DD">
        <w:rPr>
          <w:rFonts w:ascii="Times New Roman" w:eastAsia="Times New Roman" w:hAnsi="Times New Roman" w:cs="Times New Roman"/>
          <w:sz w:val="24"/>
          <w:szCs w:val="24"/>
          <w:lang w:eastAsia="ru-RU"/>
        </w:rPr>
        <w:t>-</w:t>
      </w:r>
      <w:proofErr w:type="gramStart"/>
      <w:r w:rsidRPr="009B410A">
        <w:rPr>
          <w:rFonts w:ascii="Times New Roman" w:eastAsia="Times New Roman" w:hAnsi="Times New Roman" w:cs="Times New Roman"/>
          <w:sz w:val="24"/>
          <w:szCs w:val="24"/>
          <w:lang w:val="kk-KZ" w:eastAsia="ru-RU"/>
        </w:rPr>
        <w:t>б</w:t>
      </w:r>
      <w:proofErr w:type="gramEnd"/>
      <w:r w:rsidRPr="009B410A">
        <w:rPr>
          <w:rFonts w:ascii="Times New Roman" w:eastAsia="Times New Roman" w:hAnsi="Times New Roman" w:cs="Times New Roman"/>
          <w:sz w:val="24"/>
          <w:szCs w:val="24"/>
          <w:lang w:val="kk-KZ" w:eastAsia="ru-RU"/>
        </w:rPr>
        <w:t>өлшек рынок;</w:t>
      </w:r>
    </w:p>
    <w:p w:rsidR="009F34C5" w:rsidRPr="009B410A" w:rsidRDefault="009F34C5" w:rsidP="009F34C5">
      <w:pPr>
        <w:spacing w:after="0" w:line="240" w:lineRule="auto"/>
        <w:ind w:firstLine="709"/>
        <w:rPr>
          <w:rFonts w:ascii="Times New Roman" w:eastAsia="Times New Roman" w:hAnsi="Times New Roman" w:cs="Times New Roman"/>
          <w:sz w:val="24"/>
          <w:szCs w:val="24"/>
          <w:lang w:eastAsia="ru-RU"/>
        </w:rPr>
      </w:pPr>
      <w:r w:rsidRPr="00B035DD">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«бизнес-бизнес» нарығы</w:t>
      </w:r>
    </w:p>
    <w:p w:rsidR="009F34C5" w:rsidRPr="009B410A" w:rsidRDefault="009F34C5" w:rsidP="009F34C5">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rsidR="009F34C5" w:rsidRPr="009B410A" w:rsidRDefault="009F34C5" w:rsidP="009F34C5">
      <w:pPr>
        <w:spacing w:after="0" w:line="240" w:lineRule="auto"/>
        <w:ind w:firstLine="709"/>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extent cx="5410200" cy="2781300"/>
            <wp:effectExtent l="19050" t="0" r="0" b="0"/>
            <wp:docPr id="3" name="Рисунок 3" descr="Описание: F:\Учебник_ЭК_каз\Teory\lec1.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Описание: F:\Учебник_ЭК_каз\Teory\lec1.files\image011.gif"/>
                    <pic:cNvPicPr>
                      <a:picLocks noChangeAspect="1" noChangeArrowheads="1"/>
                    </pic:cNvPicPr>
                  </pic:nvPicPr>
                  <pic:blipFill>
                    <a:blip r:embed="rId5" cstate="print"/>
                    <a:srcRect/>
                    <a:stretch>
                      <a:fillRect/>
                    </a:stretch>
                  </pic:blipFill>
                  <pic:spPr bwMode="auto">
                    <a:xfrm>
                      <a:off x="0" y="0"/>
                      <a:ext cx="5410200" cy="2781300"/>
                    </a:xfrm>
                    <a:prstGeom prst="rect">
                      <a:avLst/>
                    </a:prstGeom>
                    <a:noFill/>
                    <a:ln w="9525">
                      <a:noFill/>
                      <a:miter lim="800000"/>
                      <a:headEnd/>
                      <a:tailEnd/>
                    </a:ln>
                  </pic:spPr>
                </pic:pic>
              </a:graphicData>
            </a:graphic>
          </wp:inline>
        </w:drawing>
      </w:r>
    </w:p>
    <w:p w:rsidR="009F34C5" w:rsidRPr="009B410A" w:rsidRDefault="009F34C5" w:rsidP="009F34C5">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 xml:space="preserve">1.3-сурет – Интернет-коммерция </w:t>
      </w:r>
      <w:proofErr w:type="spellStart"/>
      <w:r w:rsidRPr="009B410A">
        <w:rPr>
          <w:rFonts w:ascii="Times New Roman" w:eastAsia="Times New Roman" w:hAnsi="Times New Roman" w:cs="Times New Roman"/>
          <w:sz w:val="24"/>
          <w:szCs w:val="24"/>
          <w:lang w:eastAsia="ru-RU"/>
        </w:rPr>
        <w:t>процесіне</w:t>
      </w:r>
      <w:proofErr w:type="spellEnd"/>
      <w:r w:rsidRPr="009B410A">
        <w:rPr>
          <w:rFonts w:ascii="Times New Roman" w:eastAsia="Times New Roman" w:hAnsi="Times New Roman" w:cs="Times New Roman"/>
          <w:sz w:val="24"/>
          <w:szCs w:val="24"/>
          <w:lang w:eastAsia="ru-RU"/>
        </w:rPr>
        <w:t xml:space="preserve"> </w:t>
      </w:r>
      <w:proofErr w:type="spellStart"/>
      <w:r w:rsidRPr="009B410A">
        <w:rPr>
          <w:rFonts w:ascii="Times New Roman" w:eastAsia="Times New Roman" w:hAnsi="Times New Roman" w:cs="Times New Roman"/>
          <w:sz w:val="24"/>
          <w:szCs w:val="24"/>
          <w:lang w:eastAsia="ru-RU"/>
        </w:rPr>
        <w:t>негізгі</w:t>
      </w:r>
      <w:proofErr w:type="spellEnd"/>
      <w:r w:rsidRPr="009B410A">
        <w:rPr>
          <w:rFonts w:ascii="Times New Roman" w:eastAsia="Times New Roman" w:hAnsi="Times New Roman" w:cs="Times New Roman"/>
          <w:sz w:val="24"/>
          <w:szCs w:val="24"/>
          <w:lang w:eastAsia="ru-RU"/>
        </w:rPr>
        <w:t xml:space="preserve"> </w:t>
      </w:r>
      <w:r w:rsidRPr="009B410A">
        <w:rPr>
          <w:rFonts w:ascii="Times New Roman" w:eastAsia="Times New Roman" w:hAnsi="Times New Roman" w:cs="Times New Roman"/>
          <w:sz w:val="24"/>
          <w:szCs w:val="24"/>
          <w:lang w:val="kk-KZ" w:eastAsia="ru-RU"/>
        </w:rPr>
        <w:t>қ</w:t>
      </w:r>
      <w:proofErr w:type="spellStart"/>
      <w:r w:rsidRPr="009B410A">
        <w:rPr>
          <w:rFonts w:ascii="Times New Roman" w:eastAsia="Times New Roman" w:hAnsi="Times New Roman" w:cs="Times New Roman"/>
          <w:sz w:val="24"/>
          <w:szCs w:val="24"/>
          <w:lang w:eastAsia="ru-RU"/>
        </w:rPr>
        <w:t>атысушылары</w:t>
      </w:r>
      <w:proofErr w:type="spellEnd"/>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xml:space="preserve">Қаржы институттары – қаржыға қатысты қызмет көрсететін ұйымдар, ең алдымен бұлар банктер, себебі нақ соларда электрондық коммерцияның барлық қалған субъектілерінің шоттары бар, солар бойынша қаражаттың нақты қозғалысы жүзеге асырылады, ол туралы келісім сол немесе басқа тәсілмен Интернет-коммерцияға арналған төлем сұлбасының бірінде декларацияланады.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Бизнес-ұйымдар – Интернет арқылы әрекеттесетін кез келген ұйымдар. Біршама тар ұғымда бұл Интернет арқылы бірдеңе сататын немесе сатып алатын, яғни сауда операцияларын жүзеге асыратын ұйымдар.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Клиенттер – қызметтерді сатып алушылар немесе тұтынушылар. Бұрын осы үшінші класс электрондық коммерция субъектісінің санында болған жоқ. </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EDI-дің барлық стандарттары бизнес-ұйымдар арасындағы (суретте бұл доға тәріздес тілмен көрсетілген) өзара әрекеттесулерге есептелінген және тек осыны ғана Электрондық Коммерция деп атайтын. Қазір бұл Электрондық Коммерция рыногының секторларының бірі ғана, ол «бизнес-бизнес» (business-to-business) секторы деп аталады.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Бұл секторда ұйымдар арасындағы өзара қатынастардың өте кең спектрі болуы мүмкін: тауар өндіруші оны не өздерінің босатушысы арқылы, немесе дистрибьютор арқылы сатуға тырысады, олар өз кезегінде дилерлер және реселлерлер арқылы жұмыс істейді.</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Егер соңғы сатып алушы-клиент өзіне бірдеңе сатып алса, яғни суретте сағат тілімен көрсетілген қарым-қатынасты жүзеге асырса, онда мұндай сектор Электрондық Коммерцияның бөлшек секторы (retail sector) деп аталады. Осы рынок секторында жұмыс істейтін сауда компаниялары тұрғындардың кең жұртшылығына түрлі жеткізушілердің тауарларының кең спектрін сатуды ұсынады.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қаржы секторы: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-ұйымдарға банк қызметін көрсету - «Клиент-Банк» секторынан;</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-жеке тұлғаларға қызмет көрсету жөнінде қызмет көрсету - «Home banking» секторынан;</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-банк аралық сектордан тұрады. Ол үшін Financial EDI стандарты шеңберіндегі бірнеше технологиялық шешімдер бар, бірақ банктер, әдетте, SWIFT дәстүрлі стандарттарын немесе қандай да бір клирингтік компанияның стандарттарын қолданады.</w:t>
      </w:r>
    </w:p>
    <w:p w:rsidR="009F34C5" w:rsidRPr="009B410A" w:rsidRDefault="009F34C5" w:rsidP="009F34C5">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rsidR="00894E11" w:rsidRPr="009F34C5" w:rsidRDefault="00894E11">
      <w:pPr>
        <w:rPr>
          <w:lang w:val="kk-KZ"/>
        </w:rPr>
      </w:pPr>
    </w:p>
    <w:sectPr w:rsidR="00894E11" w:rsidRPr="009F34C5" w:rsidSect="009A49C0">
      <w:pgSz w:w="11906" w:h="16838"/>
      <w:pgMar w:top="851"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F34C5"/>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49C0"/>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34C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4C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34C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F34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748</Words>
  <Characters>4268</Characters>
  <Application>Microsoft Office Word</Application>
  <DocSecurity>0</DocSecurity>
  <Lines>35</Lines>
  <Paragraphs>10</Paragraphs>
  <ScaleCrop>false</ScaleCrop>
  <Company>DG Win&amp;Soft</Company>
  <LinksUpToDate>false</LinksUpToDate>
  <CharactersWithSpaces>5006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2019-10-04T17:34:00Z</dcterms:created>
  <dcterms:modified xsi:type="dcterms:W3CDTF">2019-10-04T17:36:00Z</dcterms:modified>
</cp:coreProperties>
</file>